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rPr>
          <w:rFonts w:eastAsia="Times New Roman"/>
        </w:rPr>
      </w:pPr>
      <w:r>
        <w:rPr>
          <w:rFonts w:eastAsia="Times New Roman"/>
          <w:color w:val="000000"/>
        </w:rPr>
        <w:t xml:space="preserve">Na temelju Odluke Upravnog vijeća Knjižnice „Nikola Zrinski“ Čakovec, </w:t>
      </w:r>
    </w:p>
    <w:p>
      <w:pPr>
        <w:pStyle w:val="Normal"/>
        <w:spacing w:lineRule="auto" w:line="276"/>
        <w:rPr>
          <w:color w:val="000000"/>
        </w:rPr>
      </w:pPr>
      <w:r>
        <w:rPr>
          <w:rFonts w:eastAsia="Times New Roman"/>
          <w:color w:val="000000"/>
        </w:rPr>
        <w:t xml:space="preserve">Klasa: 007-04/24-02/02; Urbroj: 2109-104-24-02, od 28.02.2024 g. te članka 19.st.6 </w:t>
      </w:r>
    </w:p>
    <w:p>
      <w:pPr>
        <w:pStyle w:val="Normal"/>
        <w:spacing w:lineRule="auto" w:line="276"/>
        <w:rPr>
          <w:rFonts w:eastAsia="Times New Roman"/>
        </w:rPr>
      </w:pPr>
      <w:r>
        <w:rPr>
          <w:rFonts w:eastAsia="Times New Roman"/>
          <w:color w:val="000000"/>
        </w:rPr>
        <w:t>Statuta Knjižnice „Nikola Zrinski“ Čakovec, Upravno vijeće Knjižnice „Nikola Zrinski“ Čakovec, raspisuje</w:t>
      </w:r>
    </w:p>
    <w:p>
      <w:pPr>
        <w:pStyle w:val="Normal"/>
        <w:spacing w:lineRule="auto" w:line="276"/>
        <w:jc w:val="center"/>
        <w:rPr>
          <w:rFonts w:eastAsia="Times New Roman"/>
          <w:b/>
          <w:b/>
          <w:bCs/>
        </w:rPr>
      </w:pPr>
      <w:r>
        <w:rPr>
          <w:rFonts w:eastAsia="Times New Roman"/>
          <w:color w:val="000000"/>
        </w:rPr>
        <w:br/>
      </w:r>
      <w:r>
        <w:rPr>
          <w:rFonts w:eastAsia="Times New Roman"/>
          <w:b/>
          <w:bCs/>
          <w:color w:val="000000"/>
        </w:rPr>
        <w:t>NATJEČAJ</w:t>
      </w:r>
    </w:p>
    <w:p>
      <w:pPr>
        <w:pStyle w:val="Normal"/>
        <w:spacing w:lineRule="auto" w:line="276"/>
        <w:jc w:val="center"/>
        <w:rPr>
          <w:rFonts w:eastAsia="Times New Roman"/>
          <w:b/>
          <w:b/>
          <w:bCs/>
        </w:rPr>
      </w:pPr>
      <w:r>
        <w:rPr>
          <w:rFonts w:eastAsia="Times New Roman"/>
          <w:b/>
          <w:bCs/>
          <w:color w:val="000000"/>
        </w:rPr>
        <w:t>za radno mjesto KNJIŽNIČAR/  KNJIŽNIČARKA na Dječjem odjelu</w:t>
      </w:r>
    </w:p>
    <w:p>
      <w:pPr>
        <w:pStyle w:val="Normal"/>
        <w:spacing w:lineRule="auto" w:line="276"/>
        <w:jc w:val="center"/>
        <w:rPr>
          <w:rFonts w:eastAsia="Times New Roman"/>
          <w:b/>
          <w:b/>
          <w:bCs/>
        </w:rPr>
      </w:pPr>
      <w:r>
        <w:rPr>
          <w:rFonts w:eastAsia="Times New Roman"/>
          <w:b/>
          <w:bCs/>
          <w:color w:val="000000"/>
        </w:rPr>
        <w:t>1 izvršitelj/ izvršiteljica, na određeno puno radno vrijeme, uz probni rad od 2 mjeseca</w:t>
      </w:r>
    </w:p>
    <w:p>
      <w:pPr>
        <w:pStyle w:val="Normal"/>
        <w:spacing w:lineRule="auto" w:line="276"/>
        <w:jc w:val="center"/>
        <w:rPr>
          <w:rFonts w:eastAsia="Times New Roman"/>
          <w:b/>
          <w:b/>
          <w:bCs/>
        </w:rPr>
      </w:pPr>
      <w:r>
        <w:rPr>
          <w:rFonts w:eastAsia="Times New Roman"/>
          <w:b/>
          <w:bCs/>
          <w:color w:val="000000"/>
        </w:rPr>
        <w:t>(zamjena za rodiljni dopust)</w:t>
      </w:r>
    </w:p>
    <w:p>
      <w:pPr>
        <w:pStyle w:val="Normal"/>
        <w:spacing w:lineRule="auto" w:line="276"/>
        <w:rPr>
          <w:rFonts w:eastAsia="Times New Roman"/>
          <w:b/>
          <w:b/>
          <w:bCs/>
        </w:rPr>
      </w:pPr>
      <w:r>
        <w:rPr>
          <w:rFonts w:eastAsia="Times New Roman"/>
          <w:b/>
          <w:bCs/>
          <w:color w:val="000000"/>
        </w:rPr>
        <w:t xml:space="preserve">Uvjeti: </w:t>
      </w:r>
    </w:p>
    <w:p>
      <w:pPr>
        <w:pStyle w:val="Normal"/>
        <w:spacing w:lineRule="auto" w:line="276"/>
        <w:rPr>
          <w:rFonts w:eastAsia="Times New Roman"/>
          <w:b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</w:p>
    <w:p>
      <w:pPr>
        <w:pStyle w:val="ListParagraph"/>
        <w:widowControl/>
        <w:numPr>
          <w:ilvl w:val="0"/>
          <w:numId w:val="5"/>
        </w:numPr>
        <w:suppressAutoHyphens w:val="false"/>
        <w:rPr>
          <w:rFonts w:eastAsia="Times New Roman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 xml:space="preserve">završen preddiplomski i diplomski sveučilišni studij ili integrirani preddiplomski i </w:t>
      </w:r>
    </w:p>
    <w:p>
      <w:pPr>
        <w:pStyle w:val="Normal"/>
        <w:widowControl/>
        <w:suppressAutoHyphens w:val="false"/>
        <w:ind w:firstLine="708"/>
        <w:rPr>
          <w:rFonts w:eastAsia="Times New Roman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 xml:space="preserve">diplomski sveučilišni studij ili specijalistički diplomski stručni studij, odnosno studij </w:t>
      </w:r>
    </w:p>
    <w:p>
      <w:pPr>
        <w:pStyle w:val="Normal"/>
        <w:widowControl/>
        <w:suppressAutoHyphens w:val="false"/>
        <w:ind w:left="708" w:hanging="0"/>
        <w:rPr>
          <w:rFonts w:eastAsia="Times New Roman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 xml:space="preserve">kojim je stečena visoka stručna sprema (VSS), stečeno stručno zvanje diplomiranog </w:t>
      </w:r>
    </w:p>
    <w:p>
      <w:pPr>
        <w:pStyle w:val="Normal"/>
        <w:widowControl/>
        <w:suppressAutoHyphens w:val="false"/>
        <w:ind w:firstLine="708"/>
        <w:rPr>
          <w:rFonts w:eastAsia="Times New Roman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 xml:space="preserve">knjižničara u skladu sa Zakonom o knjižnicama i Pravilnikom o uvjetima i načinu </w:t>
      </w:r>
    </w:p>
    <w:p>
      <w:pPr>
        <w:pStyle w:val="Normal"/>
        <w:widowControl/>
        <w:suppressAutoHyphens w:val="false"/>
        <w:ind w:firstLine="708"/>
        <w:rPr>
          <w:rFonts w:eastAsia="Times New Roman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>stjecanja stručnih zvanja u knjižničarskoj struci</w:t>
      </w:r>
    </w:p>
    <w:p>
      <w:pPr>
        <w:pStyle w:val="Normal"/>
        <w:widowControl/>
        <w:numPr>
          <w:ilvl w:val="0"/>
          <w:numId w:val="3"/>
        </w:numPr>
        <w:shd w:val="clear" w:color="auto" w:fill="FFFFFF"/>
        <w:suppressAutoHyphens w:val="false"/>
        <w:spacing w:lineRule="auto" w:line="276" w:beforeAutospacing="1" w:afterAutospacing="1"/>
        <w:rPr>
          <w:rFonts w:eastAsia="Times New Roman"/>
          <w:color w:val="424242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>položen stručni ispit za knjižničara</w:t>
      </w:r>
    </w:p>
    <w:p>
      <w:pPr>
        <w:pStyle w:val="Normal"/>
        <w:spacing w:lineRule="auto" w:line="276"/>
        <w:rPr>
          <w:rFonts w:eastAsia="Times New Roman"/>
        </w:rPr>
      </w:pPr>
      <w:r>
        <w:rPr>
          <w:rFonts w:eastAsia="Times New Roman"/>
          <w:b/>
          <w:bCs/>
          <w:color w:val="000000"/>
        </w:rPr>
        <w:t xml:space="preserve">Posebna znanja i vještine: </w:t>
      </w:r>
    </w:p>
    <w:p>
      <w:pPr>
        <w:pStyle w:val="Normal"/>
        <w:widowControl/>
        <w:numPr>
          <w:ilvl w:val="0"/>
          <w:numId w:val="1"/>
        </w:numPr>
        <w:suppressAutoHyphens w:val="false"/>
        <w:spacing w:lineRule="auto" w:line="276" w:beforeAutospacing="1" w:after="0"/>
        <w:rPr>
          <w:rFonts w:eastAsia="Times New Roman"/>
        </w:rPr>
      </w:pPr>
      <w:r>
        <w:rPr>
          <w:rFonts w:eastAsia="Times New Roman"/>
          <w:color w:val="000000"/>
        </w:rPr>
        <w:t>poznavanje rada u CROLIST-u,</w:t>
      </w:r>
    </w:p>
    <w:p>
      <w:pPr>
        <w:pStyle w:val="Normal"/>
        <w:widowControl/>
        <w:numPr>
          <w:ilvl w:val="0"/>
          <w:numId w:val="1"/>
        </w:numPr>
        <w:shd w:val="clear" w:color="auto" w:fill="FFFFFF"/>
        <w:suppressAutoHyphens w:val="false"/>
        <w:spacing w:lineRule="auto" w:line="276" w:before="0" w:after="0"/>
        <w:rPr>
          <w:rFonts w:eastAsia="Times New Roman"/>
          <w:color w:val="424242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>komunikacijske vještine u odnosu s korisnicima i suradnicima,</w:t>
      </w:r>
    </w:p>
    <w:p>
      <w:pPr>
        <w:pStyle w:val="Normal"/>
        <w:widowControl/>
        <w:numPr>
          <w:ilvl w:val="0"/>
          <w:numId w:val="1"/>
        </w:numPr>
        <w:shd w:val="clear" w:color="auto" w:fill="FFFFFF"/>
        <w:suppressAutoHyphens w:val="false"/>
        <w:spacing w:lineRule="auto" w:line="276" w:before="0" w:after="0"/>
        <w:rPr>
          <w:rFonts w:eastAsia="Times New Roman"/>
          <w:color w:val="424242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>poznavanje jednog stranog jezika,</w:t>
      </w:r>
    </w:p>
    <w:p>
      <w:pPr>
        <w:pStyle w:val="Normal"/>
        <w:widowControl/>
        <w:numPr>
          <w:ilvl w:val="0"/>
          <w:numId w:val="1"/>
        </w:numPr>
        <w:shd w:val="clear" w:color="auto" w:fill="FFFFFF"/>
        <w:suppressAutoHyphens w:val="false"/>
        <w:spacing w:lineRule="auto" w:line="276" w:before="0" w:after="0"/>
        <w:rPr>
          <w:rFonts w:eastAsia="Times New Roman"/>
          <w:color w:val="424242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>računalna i informacijska pismenost,</w:t>
      </w:r>
    </w:p>
    <w:p>
      <w:pPr>
        <w:pStyle w:val="Normal"/>
        <w:widowControl/>
        <w:numPr>
          <w:ilvl w:val="0"/>
          <w:numId w:val="1"/>
        </w:numPr>
        <w:shd w:val="clear" w:color="auto" w:fill="FFFFFF"/>
        <w:suppressAutoHyphens w:val="false"/>
        <w:spacing w:lineRule="auto" w:line="276" w:before="0" w:afterAutospacing="1"/>
        <w:rPr>
          <w:color w:val="000000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>spremnost na stalno stručno usavršavanje.</w:t>
      </w:r>
    </w:p>
    <w:p>
      <w:pPr>
        <w:pStyle w:val="Normal"/>
        <w:spacing w:lineRule="auto" w:line="276"/>
        <w:rPr>
          <w:rFonts w:eastAsia="Times New Roman"/>
        </w:rPr>
      </w:pPr>
      <w:r>
        <w:rPr>
          <w:rFonts w:eastAsia="Times New Roman"/>
          <w:color w:val="000000"/>
        </w:rPr>
        <w:t> </w:t>
      </w:r>
      <w:r>
        <w:rPr>
          <w:rFonts w:eastAsia="Times New Roman"/>
          <w:b/>
          <w:bCs/>
          <w:color w:val="000000"/>
        </w:rPr>
        <w:t>Specifični uvjeti:</w:t>
      </w:r>
    </w:p>
    <w:p>
      <w:pPr>
        <w:pStyle w:val="Normal"/>
        <w:widowControl/>
        <w:numPr>
          <w:ilvl w:val="0"/>
          <w:numId w:val="2"/>
        </w:numPr>
        <w:suppressAutoHyphens w:val="false"/>
        <w:spacing w:lineRule="auto" w:line="276" w:beforeAutospacing="1" w:after="0"/>
        <w:rPr>
          <w:rFonts w:eastAsia="Times New Roman"/>
        </w:rPr>
      </w:pPr>
      <w:r>
        <w:rPr>
          <w:rFonts w:eastAsia="Times New Roman"/>
          <w:color w:val="000000"/>
        </w:rPr>
        <w:t>rad u smjenama,</w:t>
      </w:r>
    </w:p>
    <w:p>
      <w:pPr>
        <w:pStyle w:val="Normal"/>
        <w:widowControl/>
        <w:numPr>
          <w:ilvl w:val="0"/>
          <w:numId w:val="2"/>
        </w:numPr>
        <w:suppressAutoHyphens w:val="false"/>
        <w:spacing w:lineRule="auto" w:line="276" w:before="0" w:afterAutospacing="1"/>
        <w:rPr>
          <w:rFonts w:eastAsia="Times New Roman"/>
        </w:rPr>
      </w:pPr>
      <w:r>
        <w:rPr>
          <w:rFonts w:eastAsia="Times New Roman"/>
          <w:color w:val="000000"/>
        </w:rPr>
        <w:t>rad subotom</w:t>
      </w:r>
    </w:p>
    <w:p>
      <w:pPr>
        <w:pStyle w:val="Normal"/>
        <w:spacing w:lineRule="auto" w:line="276"/>
        <w:rPr>
          <w:rFonts w:eastAsia="Times New Roman"/>
        </w:rPr>
      </w:pPr>
      <w:r>
        <w:rPr>
          <w:rFonts w:eastAsia="Times New Roman"/>
          <w:color w:val="000000"/>
        </w:rPr>
        <w:t> </w:t>
      </w:r>
      <w:r>
        <w:rPr>
          <w:rFonts w:eastAsia="Times New Roman"/>
          <w:b/>
          <w:bCs/>
          <w:color w:val="000000"/>
        </w:rPr>
        <w:t>Uz prijavu, kandidati su dužni priložiti:</w:t>
      </w:r>
      <w:r>
        <w:rPr>
          <w:rFonts w:eastAsia="Times New Roman"/>
          <w:color w:val="000000"/>
        </w:rPr>
        <w:t xml:space="preserve"> </w:t>
      </w:r>
    </w:p>
    <w:p>
      <w:pPr>
        <w:pStyle w:val="Normal"/>
        <w:widowControl/>
        <w:numPr>
          <w:ilvl w:val="0"/>
          <w:numId w:val="4"/>
        </w:numPr>
        <w:shd w:val="clear" w:color="auto" w:fill="FFFFFF"/>
        <w:suppressAutoHyphens w:val="false"/>
        <w:spacing w:lineRule="auto" w:line="276" w:beforeAutospacing="1" w:after="0"/>
        <w:rPr>
          <w:rFonts w:eastAsia="Times New Roman"/>
          <w:color w:val="424242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>Životopis,</w:t>
      </w:r>
    </w:p>
    <w:p>
      <w:pPr>
        <w:pStyle w:val="Normal"/>
        <w:widowControl/>
        <w:numPr>
          <w:ilvl w:val="0"/>
          <w:numId w:val="4"/>
        </w:numPr>
        <w:shd w:val="clear" w:color="auto" w:fill="FFFFFF"/>
        <w:suppressAutoHyphens w:val="false"/>
        <w:spacing w:lineRule="auto" w:line="276" w:before="0" w:after="0"/>
        <w:rPr>
          <w:rFonts w:eastAsia="Times New Roman"/>
          <w:color w:val="424242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>Dokaz o odgovarajućem stupnju obrazovanja (preslika svjedodžbe),</w:t>
      </w:r>
    </w:p>
    <w:p>
      <w:pPr>
        <w:pStyle w:val="Normal"/>
        <w:widowControl/>
        <w:numPr>
          <w:ilvl w:val="0"/>
          <w:numId w:val="4"/>
        </w:numPr>
        <w:shd w:val="clear" w:color="auto" w:fill="FFFFFF"/>
        <w:suppressAutoHyphens w:val="false"/>
        <w:spacing w:lineRule="auto" w:line="276" w:before="0" w:after="0"/>
        <w:rPr>
          <w:rFonts w:eastAsia="Times New Roman"/>
          <w:color w:val="424242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>Dokaz o položenom stručnom ispitu za stručno zvanje knjižničara (preslika uvjerenja / potvrde)</w:t>
      </w:r>
    </w:p>
    <w:p>
      <w:pPr>
        <w:pStyle w:val="Normal"/>
        <w:widowControl/>
        <w:numPr>
          <w:ilvl w:val="0"/>
          <w:numId w:val="4"/>
        </w:numPr>
        <w:shd w:val="clear" w:color="auto" w:fill="FFFFFF"/>
        <w:suppressAutoHyphens w:val="false"/>
        <w:spacing w:lineRule="auto" w:line="276" w:before="0" w:after="0"/>
        <w:rPr>
          <w:rFonts w:eastAsia="Times New Roman"/>
          <w:color w:val="424242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>Dokaz o državljanstvu (preslika domovnica, preslika osobne iskaznice),</w:t>
      </w:r>
    </w:p>
    <w:p>
      <w:pPr>
        <w:pStyle w:val="Normal"/>
        <w:widowControl/>
        <w:numPr>
          <w:ilvl w:val="0"/>
          <w:numId w:val="4"/>
        </w:numPr>
        <w:shd w:val="clear" w:color="auto" w:fill="FFFFFF"/>
        <w:suppressAutoHyphens w:val="false"/>
        <w:spacing w:lineRule="auto" w:line="276" w:before="0" w:after="0"/>
        <w:rPr>
          <w:rFonts w:eastAsia="Times New Roman"/>
          <w:color w:val="424242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>Uvjerenje nadležnog suda da se protiv kandidata ne vodi kazneni postupak, ne starije od 6 mjeseci (potvrda o nekažnjavanju),</w:t>
      </w:r>
    </w:p>
    <w:p>
      <w:pPr>
        <w:pStyle w:val="Normal"/>
        <w:widowControl/>
        <w:numPr>
          <w:ilvl w:val="0"/>
          <w:numId w:val="4"/>
        </w:numPr>
        <w:shd w:val="clear" w:color="auto" w:fill="FFFFFF"/>
        <w:suppressAutoHyphens w:val="false"/>
        <w:spacing w:lineRule="auto" w:line="276" w:before="0" w:afterAutospacing="1"/>
        <w:rPr>
          <w:rFonts w:eastAsia="Times New Roman"/>
          <w:color w:val="424242"/>
          <w:kern w:val="0"/>
          <w:lang w:eastAsia="hr-HR"/>
          <w14:ligatures w14:val="none"/>
        </w:rPr>
      </w:pPr>
      <w:r>
        <w:rPr>
          <w:rFonts w:eastAsia="Times New Roman"/>
          <w:color w:val="000000"/>
          <w:kern w:val="0"/>
          <w:lang w:eastAsia="hr-HR"/>
          <w14:ligatures w14:val="none"/>
        </w:rPr>
        <w:t>Potvrdu o podacima evidentiranim u matičnoj evidenciji Hrvatskog zavoda za mirovinsko osiguranje</w:t>
      </w:r>
    </w:p>
    <w:p>
      <w:pPr>
        <w:pStyle w:val="ListParagraph"/>
        <w:spacing w:lineRule="auto" w:line="276"/>
        <w:rPr>
          <w:color w:val="000000"/>
        </w:rPr>
      </w:pPr>
      <w:r>
        <w:rPr>
          <w:rFonts w:eastAsia="Times New Roman"/>
          <w:b/>
          <w:bCs/>
          <w:color w:val="000000"/>
          <w:kern w:val="0"/>
          <w:shd w:fill="FFFFFF" w:val="clear"/>
          <w:lang w:eastAsia="hr-HR"/>
          <w14:ligatures w14:val="none"/>
        </w:rPr>
        <w:t>3. Rok za podnošenje prijave: </w:t>
      </w:r>
      <w:r>
        <w:rPr>
          <w:rFonts w:eastAsia="Times New Roman"/>
          <w:color w:val="000000"/>
          <w:kern w:val="0"/>
          <w:shd w:fill="FFFFFF" w:val="clear"/>
          <w:lang w:eastAsia="hr-HR"/>
          <w14:ligatures w14:val="none"/>
        </w:rPr>
        <w:t>09.03.2024</w:t>
      </w:r>
      <w:r>
        <w:rPr>
          <w:rFonts w:eastAsia="Times New Roman"/>
          <w:color w:val="000000"/>
          <w:kern w:val="0"/>
          <w:shd w:fill="FFFFFF" w:val="clear"/>
          <w:lang w:eastAsia="hr-HR"/>
          <w14:ligatures w14:val="none"/>
        </w:rPr>
        <w:t>.</w:t>
      </w:r>
      <w:r>
        <w:rPr>
          <w:rFonts w:eastAsia="Times New Roman"/>
          <w:color w:val="000000"/>
          <w:kern w:val="0"/>
          <w:lang w:eastAsia="hr-HR"/>
          <w14:ligatures w14:val="none"/>
        </w:rPr>
        <w:br/>
      </w:r>
      <w:r>
        <w:rPr>
          <w:rFonts w:eastAsia="Times New Roman"/>
          <w:color w:val="000000"/>
          <w:kern w:val="0"/>
          <w:shd w:fill="FFFFFF" w:val="clear"/>
          <w:lang w:eastAsia="hr-HR"/>
          <w14:ligatures w14:val="none"/>
        </w:rPr>
        <w:t>  </w:t>
      </w:r>
      <w:r>
        <w:rPr>
          <w:rFonts w:eastAsia="Times New Roman"/>
          <w:color w:val="000000"/>
          <w:kern w:val="0"/>
          <w:lang w:eastAsia="hr-HR"/>
          <w14:ligatures w14:val="none"/>
        </w:rPr>
        <w:br/>
      </w:r>
      <w:r>
        <w:rPr>
          <w:rFonts w:eastAsia="Times New Roman"/>
          <w:color w:val="000000"/>
          <w:kern w:val="0"/>
          <w:shd w:fill="FFFFFF" w:val="clear"/>
          <w:lang w:eastAsia="hr-HR"/>
          <w14:ligatures w14:val="none"/>
        </w:rPr>
        <w:t>Kandidat koji ostvaruje pravo prednosti pri zapošljavanju prema posebnim zakonima (Zakon o hrvatskim braniteljima iz Domovinskog rata i članovima njihovih obitelji (NN 121/17, 98/19 i 84/21), Zakon o profesionalnoj rehabilitaciji i zapošljavanju osoba s invaliditetom (NN 157/13, 152/14, 39/18 i 32/20), Zakon o zaštiti vojnih i civilnih invalida rata (NN 33/92, 57/92, 77/92, 27/93, 58/93, 02/94, 76/94, 108/95, 108/96, 82/01, 103/03, 148/13, 98/19)), dužan je u prijavi na natječaj pozvati se na to pravo te priložiti sve dokaze o ispunjavanju traženih uvjeta</w:t>
      </w:r>
      <w:r>
        <w:rPr>
          <w:rFonts w:eastAsia="Times New Roman"/>
          <w:b/>
          <w:bCs/>
          <w:color w:val="000000"/>
          <w:kern w:val="0"/>
          <w:shd w:fill="FFFFFF" w:val="clear"/>
          <w:lang w:eastAsia="hr-HR"/>
          <w14:ligatures w14:val="none"/>
        </w:rPr>
        <w:t>, u kojem slučaju ima prednost u odnosu na ostale kandidate samo pod jednakim uvjetima.</w:t>
      </w:r>
      <w:r>
        <w:rPr>
          <w:rFonts w:eastAsia="Times New Roman"/>
          <w:color w:val="000000"/>
          <w:kern w:val="0"/>
          <w:lang w:eastAsia="hr-HR"/>
          <w14:ligatures w14:val="none"/>
        </w:rPr>
        <w:br/>
      </w:r>
      <w:r>
        <w:rPr>
          <w:rFonts w:eastAsia="Times New Roman"/>
          <w:color w:val="000000"/>
          <w:kern w:val="0"/>
          <w:shd w:fill="FFFFFF" w:val="clear"/>
          <w:lang w:eastAsia="hr-HR"/>
          <w14:ligatures w14:val="none"/>
        </w:rPr>
        <w:t> </w:t>
      </w:r>
      <w:r>
        <w:rPr>
          <w:rFonts w:eastAsia="Times New Roman"/>
          <w:color w:val="000000"/>
          <w:kern w:val="0"/>
          <w:lang w:eastAsia="hr-HR"/>
          <w14:ligatures w14:val="none"/>
        </w:rPr>
        <w:br/>
      </w:r>
      <w:r>
        <w:rPr>
          <w:rFonts w:eastAsia="Times New Roman"/>
          <w:color w:val="000000"/>
          <w:kern w:val="0"/>
          <w:shd w:fill="FFFFFF" w:val="clear"/>
          <w:lang w:eastAsia="hr-HR"/>
          <w14:ligatures w14:val="none"/>
        </w:rPr>
        <w:t>Za kandidate prijavljene na natječaj čije su prijave uredne, pravodobne i koji ispunjavaju formalne uvjete provest će se provjera znanja i sposobnosti putem intervjua. Ako kandidat ne pristupi intervjuu smatra se da je povukao prijavu na natječaj.</w:t>
      </w:r>
      <w:r>
        <w:rPr>
          <w:rFonts w:eastAsia="Times New Roman"/>
          <w:color w:val="000000"/>
          <w:kern w:val="0"/>
          <w:shd w:fill="FFFFFF" w:val="clear"/>
          <w:lang w:eastAsia="hr-HR"/>
          <w14:ligatures w14:val="none"/>
        </w:rPr>
        <w:t>.       </w:t>
      </w:r>
      <w:r>
        <w:rPr>
          <w:rFonts w:eastAsia="Times New Roman"/>
          <w:color w:val="000000"/>
          <w:kern w:val="0"/>
          <w:lang w:eastAsia="hr-HR"/>
          <w14:ligatures w14:val="none"/>
        </w:rPr>
        <w:br/>
        <w:br/>
      </w:r>
      <w:r>
        <w:rPr>
          <w:rFonts w:eastAsia="Times New Roman"/>
          <w:color w:val="000000"/>
          <w:kern w:val="0"/>
          <w:shd w:fill="FFFFFF" w:val="clear"/>
          <w:lang w:eastAsia="hr-HR"/>
          <w14:ligatures w14:val="none"/>
        </w:rPr>
        <w:t>Navedeni dokazi prilažu se u izvorniku ili preslici koja ne treba biti ovjerena, a prije izbora kandidat je dužan predočiti izvornik.</w:t>
      </w:r>
      <w:r>
        <w:rPr>
          <w:rFonts w:eastAsia="Times New Roman"/>
          <w:color w:val="000000"/>
          <w:kern w:val="0"/>
          <w:lang w:eastAsia="hr-HR"/>
          <w14:ligatures w14:val="none"/>
        </w:rPr>
        <w:br/>
      </w:r>
      <w:r>
        <w:rPr>
          <w:rFonts w:eastAsia="Times New Roman"/>
          <w:color w:val="000000"/>
          <w:kern w:val="0"/>
          <w:shd w:fill="FFFFFF" w:val="clear"/>
          <w:lang w:eastAsia="hr-HR"/>
          <w14:ligatures w14:val="none"/>
        </w:rPr>
        <w:t>Na natječaj se mogu ravnopravno prijaviti osobe oba spola, a izrazi koji se koriste u ovom natječaju za osobe u muškom rodu uporabljeni su neutralno i odnose se na muške i ženske osobe.</w:t>
      </w:r>
      <w:r>
        <w:rPr>
          <w:rFonts w:eastAsia="Times New Roman"/>
          <w:color w:val="000000"/>
          <w:kern w:val="0"/>
          <w:lang w:eastAsia="hr-HR"/>
          <w14:ligatures w14:val="none"/>
        </w:rPr>
        <w:br/>
        <w:br/>
      </w:r>
      <w:r>
        <w:rPr>
          <w:rFonts w:eastAsia="Times New Roman"/>
          <w:color w:val="000000"/>
          <w:kern w:val="0"/>
          <w:shd w:fill="FFFFFF" w:val="clear"/>
          <w:lang w:eastAsia="hr-HR"/>
          <w14:ligatures w14:val="none"/>
        </w:rPr>
        <w:t>Nepotpune i nepravovremeno stigle prijave neće se razmatrati.</w:t>
      </w:r>
      <w:r>
        <w:rPr>
          <w:rFonts w:eastAsia="Times New Roman"/>
          <w:color w:val="000000"/>
          <w:kern w:val="0"/>
          <w:lang w:eastAsia="hr-HR"/>
          <w14:ligatures w14:val="none"/>
        </w:rPr>
        <w:br/>
        <w:br/>
      </w:r>
      <w:r>
        <w:rPr>
          <w:rFonts w:eastAsia="Times New Roman"/>
          <w:color w:val="000000"/>
          <w:kern w:val="0"/>
          <w:shd w:fill="FFFFFF" w:val="clear"/>
          <w:lang w:eastAsia="hr-HR"/>
          <w14:ligatures w14:val="none"/>
        </w:rPr>
        <w:t>U prijavi na natječaj navode se i podaci podnositelja prijave (ime i prezime, adresa prebivališta, broj telefona, adresa e-pošte) isključivo za potrebe postupka sukladno Općoj uredbi o zaštiti podataka (EU 2016/679 – u daljnjem tekstu: Uredba) i Zakonu o provedbi opće uredbe o zaštiti podataka („Narodne novine“ broj 42/18.), Knjižnica kao voditelj obrade osobnih podataka sa istima će postupati prema načelima obrade osobnih podataka navedenih u članku 5. Uredbe.</w:t>
      </w:r>
      <w:r>
        <w:rPr>
          <w:rFonts w:eastAsia="Times New Roman"/>
          <w:color w:val="000000"/>
          <w:kern w:val="0"/>
          <w:lang w:eastAsia="hr-HR"/>
          <w14:ligatures w14:val="none"/>
        </w:rPr>
        <w:br/>
        <w:br/>
      </w:r>
      <w:r>
        <w:rPr>
          <w:rFonts w:eastAsia="Times New Roman"/>
          <w:color w:val="000000"/>
          <w:kern w:val="0"/>
          <w:shd w:fill="FFFFFF" w:val="clear"/>
          <w:lang w:eastAsia="hr-HR"/>
          <w14:ligatures w14:val="none"/>
        </w:rPr>
        <w:t>Prijave na natječaj s dokazima o ispunjavanju uvjeta dostavljaju se u roku 8 dana od dana objave oglasa, osobno ili poštom na adresu: Knjižnica „Nikola Zrinski“ Čakovec, 40000 Čakovec, Trg Republike 4; s naznakom „Za  natječaj – knjižničar/ka na Dječjem odjelu“.</w:t>
      </w:r>
      <w:r>
        <w:rPr>
          <w:rFonts w:eastAsia="Times New Roman"/>
          <w:color w:val="000000"/>
          <w:kern w:val="0"/>
          <w:lang w:eastAsia="hr-HR"/>
          <w14:ligatures w14:val="none"/>
        </w:rPr>
        <w:br/>
        <w:br/>
      </w:r>
      <w:r>
        <w:rPr>
          <w:rFonts w:eastAsia="Times New Roman"/>
          <w:color w:val="000000"/>
          <w:kern w:val="0"/>
          <w:shd w:fill="FFFFFF" w:val="clear"/>
          <w:lang w:eastAsia="hr-HR"/>
          <w14:ligatures w14:val="none"/>
        </w:rPr>
        <w:t>Kandidati će o rezultatima biti obaviješteni u roku 30 dana.</w:t>
      </w:r>
    </w:p>
    <w:p>
      <w:pPr>
        <w:pStyle w:val="Normal"/>
        <w:spacing w:lineRule="auto" w:line="276"/>
        <w:rPr>
          <w:rFonts w:eastAsia="Times New Roman"/>
          <w:color w:val="000000"/>
        </w:rPr>
      </w:pPr>
      <w:r>
        <w:rPr>
          <w:rFonts w:eastAsia="Times New Roman"/>
          <w:color w:val="000000"/>
        </w:rPr>
      </w:r>
    </w:p>
    <w:p>
      <w:pPr>
        <w:pStyle w:val="Normal"/>
        <w:spacing w:lineRule="auto" w:line="276"/>
        <w:rPr>
          <w:rFonts w:eastAsia="Times New Roman"/>
          <w:color w:val="000000"/>
        </w:rPr>
      </w:pPr>
      <w:r>
        <w:rPr>
          <w:rFonts w:eastAsia="Times New Roman"/>
          <w:color w:val="000000"/>
        </w:rPr>
      </w:r>
    </w:p>
    <w:p>
      <w:pPr>
        <w:pStyle w:val="Normal"/>
        <w:spacing w:lineRule="auto" w:line="276"/>
        <w:rPr>
          <w:rFonts w:eastAsia="Times New Roman"/>
        </w:rPr>
      </w:pPr>
      <w:r>
        <w:rPr>
          <w:rFonts w:eastAsia="Times New Roman"/>
          <w:color w:val="000000"/>
        </w:rPr>
        <w:t xml:space="preserve">                                                                        </w:t>
      </w:r>
      <w:r>
        <w:rPr>
          <w:rFonts w:eastAsia="Times New Roman"/>
          <w:color w:val="000000"/>
        </w:rPr>
        <w:t>Predsjednica Upravnog vijeća:</w:t>
      </w:r>
    </w:p>
    <w:p>
      <w:pPr>
        <w:pStyle w:val="Normal"/>
        <w:spacing w:lineRule="auto" w:line="276"/>
        <w:ind w:left="4248" w:firstLine="708"/>
        <w:rPr>
          <w:rFonts w:eastAsia="Times New Roman"/>
        </w:rPr>
      </w:pPr>
      <w:r>
        <w:rPr>
          <w:rFonts w:eastAsia="Times New Roman"/>
          <w:color w:val="000000"/>
        </w:rPr>
        <w:t>Lana Rođak, mag.oec</w:t>
      </w:r>
      <w:bookmarkStart w:id="0" w:name="_GoBack"/>
      <w:bookmarkEnd w:id="0"/>
    </w:p>
    <w:p>
      <w:pPr>
        <w:pStyle w:val="Normal"/>
        <w:rPr>
          <w:color w:val="000000"/>
        </w:rPr>
      </w:pPr>
      <w:r>
        <w:rPr>
          <w:color w:val="000000"/>
        </w:rPr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4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Cs w:val="22"/>
        <w:lang w:val="hr-HR" w:eastAsia="en-US" w:bidi="ar-SA"/>
        <w14:ligatures w14:val="standardContextual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85746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Lucida Sans Unicode" w:cs="Times New Roman"/>
      <w:color w:val="auto"/>
      <w:kern w:val="2"/>
      <w:sz w:val="24"/>
      <w:szCs w:val="24"/>
      <w:lang w:val="hr-H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rFonts w:cs="Times New Roman"/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sz w:val="20"/>
    </w:rPr>
  </w:style>
  <w:style w:type="character" w:styleId="ListLabel11">
    <w:name w:val="ListLabel 11"/>
    <w:qFormat/>
    <w:rPr>
      <w:rFonts w:cs="Times New Roman"/>
      <w:sz w:val="20"/>
    </w:rPr>
  </w:style>
  <w:style w:type="character" w:styleId="ListLabel12">
    <w:name w:val="ListLabel 12"/>
    <w:qFormat/>
    <w:rPr>
      <w:sz w:val="20"/>
    </w:rPr>
  </w:style>
  <w:style w:type="character" w:styleId="ListLabel13">
    <w:name w:val="ListLabel 13"/>
    <w:qFormat/>
    <w:rPr>
      <w:sz w:val="20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sz w:val="20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character" w:styleId="ListLabel28">
    <w:name w:val="ListLabel 28"/>
    <w:qFormat/>
    <w:rPr>
      <w:sz w:val="20"/>
    </w:rPr>
  </w:style>
  <w:style w:type="character" w:styleId="ListLabel29">
    <w:name w:val="ListLabel 29"/>
    <w:qFormat/>
    <w:rPr>
      <w:sz w:val="20"/>
    </w:rPr>
  </w:style>
  <w:style w:type="character" w:styleId="ListLabel30">
    <w:name w:val="ListLabel 30"/>
    <w:qFormat/>
    <w:rPr>
      <w:sz w:val="20"/>
    </w:rPr>
  </w:style>
  <w:style w:type="character" w:styleId="ListLabel31">
    <w:name w:val="ListLabel 31"/>
    <w:qFormat/>
    <w:rPr>
      <w:sz w:val="20"/>
    </w:rPr>
  </w:style>
  <w:style w:type="character" w:styleId="ListLabel32">
    <w:name w:val="ListLabel 32"/>
    <w:qFormat/>
    <w:rPr>
      <w:sz w:val="20"/>
    </w:rPr>
  </w:style>
  <w:style w:type="character" w:styleId="ListLabel33">
    <w:name w:val="ListLabel 33"/>
    <w:qFormat/>
    <w:rPr>
      <w:sz w:val="20"/>
    </w:rPr>
  </w:style>
  <w:style w:type="character" w:styleId="ListLabel34">
    <w:name w:val="ListLabel 34"/>
    <w:qFormat/>
    <w:rPr>
      <w:sz w:val="20"/>
    </w:rPr>
  </w:style>
  <w:style w:type="character" w:styleId="ListLabel35">
    <w:name w:val="ListLabel 35"/>
    <w:qFormat/>
    <w:rPr>
      <w:sz w:val="20"/>
    </w:rPr>
  </w:style>
  <w:style w:type="character" w:styleId="ListLabel36">
    <w:name w:val="ListLabel 36"/>
    <w:qFormat/>
    <w:rPr>
      <w:sz w:val="20"/>
    </w:rPr>
  </w:style>
  <w:style w:type="character" w:styleId="ListLabel37">
    <w:name w:val="ListLabel 37"/>
    <w:qFormat/>
    <w:rPr>
      <w:rFonts w:eastAsia="Times New Roman" w:cs="Times New Roman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f85746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LibreOffice/6.0.3.2$Windows_X86_64 LibreOffice_project/8f48d515416608e3a835360314dac7e47fd0b821</Application>
  <Pages>2</Pages>
  <Words>556</Words>
  <Characters>3292</Characters>
  <CharactersWithSpaces>3905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2024-02-23T09:55:00Z</dcterms:created>
  <dc:creator>Ljiljana Križan</dc:creator>
  <dc:description/>
  <dc:language>hr-HR</dc:language>
  <cp:lastModifiedBy/>
  <cp:lastPrinted>2024-02-20T13:17:00Z</cp:lastPrinted>
  <dcterms:modified xsi:type="dcterms:W3CDTF">2024-03-01T07:02:31Z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